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附表：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2022-2023学年基层教学组织达标创优评选结果</w:t>
      </w:r>
    </w:p>
    <w:bookmarkEnd w:id="0"/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6900"/>
        <w:gridCol w:w="7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  称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课程类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就业指导教研室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课程类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军事理论教研室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课程类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专修体育教研室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课程类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大学英语教研室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实践类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机电工程实验实训中心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实践类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艺术综合实训中心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专业类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建筑工程技术教研室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专业类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专业类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播音主持教研室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专业类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软件技术教研室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专业类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专业类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环保教研室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专业类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工业机器人与智能控制教研室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课程类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思想道德与法治教研室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课程类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毛泽东思想和中国特色社会主义理论体系概论教研室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课程类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形势与政策教研室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课程类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计算机基础教学部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课程类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公修体育教研室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课程类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理科教研室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课程类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文科教研室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课程类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数学教研室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课程类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公共艺术教研室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实践类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土建工程实验实训中心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实践类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经济管理实训中心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实践类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大学物理实验室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实践类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信息工程实验实训中心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实践类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化工实验实训中心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实践类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会计实训中心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专业类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旅游与酒店管理教研室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专业类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计算机应用教研室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专业类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专业类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化工教研室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专业类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专业类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建设工程管理教研室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专业类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人工智能与机器学习教研室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专业类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材料教研室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专业类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计算机网络教研室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专业类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通信技术教研室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专业类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电气自动化教研室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专业类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应用电子教研室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专业类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机电一体化教研室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专业类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专业类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机械制造教研室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专业类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专业类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生化教研室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专业类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专业类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专业类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专业类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专业类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专业类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太极拳教研室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专业类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专业类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专业类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会计信息管理教研室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专业类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商务英语教研室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专业类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专业类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应用英语教研室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专业类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法律事务教研室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专业类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音乐表演教研室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专业类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舞蹈表演教研室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C0C0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C0C0C"/>
                <w:kern w:val="0"/>
                <w:sz w:val="24"/>
                <w:szCs w:val="24"/>
                <w:u w:val="none"/>
                <w:lang w:val="en-US" w:eastAsia="zh-CN" w:bidi="ar"/>
              </w:rPr>
              <w:t>专业类</w:t>
            </w:r>
          </w:p>
        </w:tc>
        <w:tc>
          <w:tcPr>
            <w:tcW w:w="3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工商管理教研室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YzM5NWEwNmI5OTJkMzRhMTA4YjZmNDVhNjA1Y2UifQ=="/>
  </w:docVars>
  <w:rsids>
    <w:rsidRoot w:val="4A070E10"/>
    <w:rsid w:val="4A07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2023-11-03T09:57:00Z</dcterms:created>
  <dc:creator>林邓伟</dc:creator>
  <cp:lastModifiedBy>林邓伟</cp:lastModifiedBy>
  <dcterms:modified xsi:type="dcterms:W3CDTF">2023-11-03T09:57:26Z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0D22E51059344198A81EB7BF45104DCB_11</vt:lpwstr>
  </property>
</Properties>
</file>