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年职业教育活动周活动安排一览表</w:t>
      </w:r>
    </w:p>
    <w:tbl>
      <w:tblPr>
        <w:tblStyle w:val="4"/>
        <w:tblpPr w:leftFromText="180" w:rightFromText="180" w:vertAnchor="text" w:horzAnchor="page" w:tblpX="1149" w:tblpY="522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969"/>
        <w:gridCol w:w="1559"/>
        <w:gridCol w:w="1559"/>
        <w:gridCol w:w="1418"/>
        <w:gridCol w:w="1418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28"/>
                <w:szCs w:val="36"/>
              </w:rPr>
              <w:t>院部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活动名称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活动形式</w:t>
            </w:r>
          </w:p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2"/>
                <w:szCs w:val="36"/>
              </w:rPr>
              <w:t>（比赛、技能展示、讲座等）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参与人数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活动时间</w:t>
            </w:r>
          </w:p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2"/>
                <w:szCs w:val="36"/>
              </w:rPr>
              <w:t>（如11月8日）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活动地点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活动负责人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36"/>
              </w:rPr>
              <w:t>参与覆盖率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tabs>
          <w:tab w:val="left" w:pos="75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备注：1.此表请于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日10:00前报至教务处。</w:t>
      </w:r>
    </w:p>
    <w:p>
      <w:pPr>
        <w:spacing w:line="520" w:lineRule="exact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2.各院部师生技能比赛或展示活动要制定方案，并于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日前交至教务处。</w:t>
      </w:r>
    </w:p>
    <w:p>
      <w:pPr>
        <w:tabs>
          <w:tab w:val="left" w:pos="755"/>
        </w:tabs>
        <w:jc w:val="left"/>
        <w:rPr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52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spacing w:before="156" w:beforeLines="50"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XXX学院202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年职业教育活动周工作总结（提纲）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一、基本情况介绍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二、活动内容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三、活动成效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四、主要经验和做法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五、存在的问题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六、下一步打算</w:t>
      </w: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</w:pPr>
    </w:p>
    <w:p>
      <w:pPr>
        <w:tabs>
          <w:tab w:val="left" w:pos="3550"/>
        </w:tabs>
        <w:jc w:val="left"/>
        <w:rPr>
          <w:sz w:val="24"/>
          <w:szCs w:val="24"/>
        </w:rPr>
      </w:pPr>
    </w:p>
    <w:p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spacing w:line="5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1.《XXX院部职业教育活动周工作总结》于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日之前报教务处；</w:t>
      </w:r>
    </w:p>
    <w:p>
      <w:pPr>
        <w:spacing w:line="5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2.《XXX院部师生技能活动月工作总结》于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日之前报教务处。</w:t>
      </w:r>
    </w:p>
    <w:p>
      <w:pPr>
        <w:tabs>
          <w:tab w:val="left" w:pos="3550"/>
        </w:tabs>
        <w:jc w:val="lef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400A7"/>
    <w:rsid w:val="3F8400A7"/>
    <w:rsid w:val="6FC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2021-05-19T11:03:00Z</dcterms:created>
  <dc:creator>珅珅</dc:creator>
  <cp:lastModifiedBy>珅珅</cp:lastModifiedBy>
  <dcterms:modified xsi:type="dcterms:W3CDTF">2021-05-19T11:04:46Z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040D788C88254D2BA835AD64E05D3C8A</vt:lpwstr>
  </property>
</Properties>
</file>